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1966" w14:textId="65345891" w:rsidR="00C30958" w:rsidRPr="004C5695" w:rsidRDefault="00365274" w:rsidP="00C30958">
      <w:pPr>
        <w:pStyle w:val="al"/>
        <w:spacing w:line="345" w:lineRule="atLeast"/>
        <w:jc w:val="center"/>
        <w:rPr>
          <w:b/>
          <w:bCs/>
          <w:sz w:val="28"/>
          <w:szCs w:val="28"/>
        </w:rPr>
      </w:pPr>
      <w:r>
        <w:rPr>
          <w:b/>
          <w:bCs/>
          <w:sz w:val="28"/>
          <w:szCs w:val="28"/>
        </w:rPr>
        <w:t>PRO</w:t>
      </w:r>
      <w:r w:rsidR="00FB6D76">
        <w:rPr>
          <w:b/>
          <w:bCs/>
          <w:sz w:val="28"/>
          <w:szCs w:val="28"/>
        </w:rPr>
        <w:t>PUNERE LEGISLATIVA</w:t>
      </w:r>
    </w:p>
    <w:p w14:paraId="6783B571" w14:textId="4C32A0D9" w:rsidR="00122F75" w:rsidRPr="004C5695" w:rsidRDefault="00122F75" w:rsidP="00C30958">
      <w:pPr>
        <w:pStyle w:val="al"/>
        <w:spacing w:line="345" w:lineRule="atLeast"/>
        <w:jc w:val="center"/>
        <w:rPr>
          <w:b/>
          <w:bCs/>
          <w:sz w:val="28"/>
          <w:szCs w:val="28"/>
        </w:rPr>
      </w:pPr>
      <w:r w:rsidRPr="004C5695">
        <w:rPr>
          <w:b/>
          <w:bCs/>
          <w:sz w:val="28"/>
          <w:szCs w:val="28"/>
        </w:rPr>
        <w:t>privind modificarea și completarea Ordonanței de urgență a Guvernului nr. 8/2009 privind acordarea voucherelor de vacanță</w:t>
      </w:r>
    </w:p>
    <w:p w14:paraId="230A2850" w14:textId="77777777" w:rsidR="00C30958" w:rsidRPr="004C5695" w:rsidRDefault="00C30958" w:rsidP="001C4D2E">
      <w:pPr>
        <w:pStyle w:val="al"/>
        <w:spacing w:line="345" w:lineRule="atLeast"/>
        <w:rPr>
          <w:b/>
          <w:bCs/>
          <w:sz w:val="28"/>
          <w:szCs w:val="28"/>
        </w:rPr>
      </w:pPr>
    </w:p>
    <w:p w14:paraId="34905F1D" w14:textId="572FE76B" w:rsidR="001C4D2E" w:rsidRPr="004C5695" w:rsidRDefault="001C4D2E" w:rsidP="001C4D2E">
      <w:pPr>
        <w:pStyle w:val="al"/>
        <w:spacing w:line="345" w:lineRule="atLeast"/>
        <w:rPr>
          <w:sz w:val="28"/>
          <w:szCs w:val="28"/>
        </w:rPr>
      </w:pPr>
      <w:r w:rsidRPr="004C5695">
        <w:rPr>
          <w:b/>
          <w:bCs/>
          <w:sz w:val="28"/>
          <w:szCs w:val="28"/>
        </w:rPr>
        <w:t xml:space="preserve">Articolul I. - </w:t>
      </w:r>
      <w:r w:rsidRPr="004C5695">
        <w:rPr>
          <w:sz w:val="28"/>
          <w:szCs w:val="28"/>
        </w:rPr>
        <w:t xml:space="preserve">Ordonanța de urgență a Guvernului nr. 8/2009 privind acordarea voucherelor de vacanță, publicată în Monitorul Oficial al României, Partea I, nr. 110 din 24 februarie 2009, </w:t>
      </w:r>
      <w:r w:rsidR="00226972">
        <w:rPr>
          <w:sz w:val="28"/>
          <w:szCs w:val="28"/>
        </w:rPr>
        <w:t xml:space="preserve">aprobată prin Legea nr. 94/2014, </w:t>
      </w:r>
      <w:r w:rsidRPr="004C5695">
        <w:rPr>
          <w:sz w:val="28"/>
          <w:szCs w:val="28"/>
        </w:rPr>
        <w:t>cu modificările și completările ulterioare, se modifică și se completează după cum urmează:</w:t>
      </w:r>
    </w:p>
    <w:p w14:paraId="219D9F92" w14:textId="77777777" w:rsidR="001C4D2E" w:rsidRPr="004C5695" w:rsidRDefault="001C4D2E" w:rsidP="001C4D2E">
      <w:pPr>
        <w:pStyle w:val="al"/>
        <w:spacing w:line="345" w:lineRule="atLeast"/>
        <w:rPr>
          <w:sz w:val="28"/>
          <w:szCs w:val="28"/>
        </w:rPr>
      </w:pPr>
    </w:p>
    <w:p w14:paraId="615BE006" w14:textId="77777777" w:rsidR="001C4D2E" w:rsidRPr="004C5695" w:rsidRDefault="001C4D2E">
      <w:pPr>
        <w:pStyle w:val="al"/>
        <w:spacing w:line="345" w:lineRule="atLeast"/>
        <w:rPr>
          <w:color w:val="333333"/>
          <w:sz w:val="28"/>
          <w:szCs w:val="28"/>
        </w:rPr>
      </w:pPr>
    </w:p>
    <w:p w14:paraId="430E6428" w14:textId="3D65F95C" w:rsidR="00915765" w:rsidRPr="004C5695" w:rsidRDefault="00916D55" w:rsidP="00916D55">
      <w:pPr>
        <w:pStyle w:val="al"/>
        <w:numPr>
          <w:ilvl w:val="0"/>
          <w:numId w:val="5"/>
        </w:numPr>
        <w:spacing w:line="345" w:lineRule="atLeast"/>
        <w:rPr>
          <w:b/>
          <w:color w:val="333333"/>
          <w:sz w:val="28"/>
          <w:szCs w:val="28"/>
        </w:rPr>
      </w:pPr>
      <w:r w:rsidRPr="004C5695">
        <w:rPr>
          <w:b/>
          <w:color w:val="333333"/>
          <w:sz w:val="28"/>
          <w:szCs w:val="28"/>
        </w:rPr>
        <w:t>La a</w:t>
      </w:r>
      <w:r w:rsidR="00915765" w:rsidRPr="004C5695">
        <w:rPr>
          <w:b/>
          <w:color w:val="333333"/>
          <w:sz w:val="28"/>
          <w:szCs w:val="28"/>
        </w:rPr>
        <w:t>rticolul 1, alineatul (1) se modific</w:t>
      </w:r>
      <w:r w:rsidR="007762AF" w:rsidRPr="004C5695">
        <w:rPr>
          <w:b/>
          <w:color w:val="333333"/>
          <w:sz w:val="28"/>
          <w:szCs w:val="28"/>
        </w:rPr>
        <w:t>ă și va avea urmă</w:t>
      </w:r>
      <w:r w:rsidR="00915765" w:rsidRPr="004C5695">
        <w:rPr>
          <w:b/>
          <w:color w:val="333333"/>
          <w:sz w:val="28"/>
          <w:szCs w:val="28"/>
        </w:rPr>
        <w:t>torul cuprins:</w:t>
      </w:r>
    </w:p>
    <w:p w14:paraId="22C11B68" w14:textId="77777777" w:rsidR="00915765" w:rsidRPr="004C5695" w:rsidRDefault="00915765">
      <w:pPr>
        <w:pStyle w:val="al"/>
        <w:spacing w:line="345" w:lineRule="atLeast"/>
        <w:rPr>
          <w:b/>
          <w:color w:val="333333"/>
          <w:sz w:val="28"/>
          <w:szCs w:val="28"/>
        </w:rPr>
      </w:pPr>
    </w:p>
    <w:p w14:paraId="66AF5DAD" w14:textId="179B527A" w:rsidR="00D73ABC" w:rsidRPr="004C5695" w:rsidRDefault="00122F75" w:rsidP="00122F75">
      <w:pPr>
        <w:pStyle w:val="al"/>
        <w:spacing w:line="345" w:lineRule="atLeast"/>
        <w:rPr>
          <w:sz w:val="28"/>
          <w:szCs w:val="28"/>
        </w:rPr>
      </w:pPr>
      <w:r w:rsidRPr="004C5695">
        <w:rPr>
          <w:sz w:val="28"/>
          <w:szCs w:val="28"/>
        </w:rPr>
        <w:t xml:space="preserve">„(1) </w:t>
      </w:r>
      <w:r w:rsidR="00D73ABC" w:rsidRPr="004C5695">
        <w:rPr>
          <w:sz w:val="28"/>
          <w:szCs w:val="28"/>
        </w:rPr>
        <w:t xml:space="preserve">Începând cu data de 1 ianuarie 2024, pentru recuperarea şi întreţinerea capacităţii de muncă a personalului salarial,  </w:t>
      </w:r>
      <w:r w:rsidR="00D73ABC" w:rsidRPr="004C5695">
        <w:rPr>
          <w:bCs/>
          <w:sz w:val="28"/>
          <w:szCs w:val="28"/>
        </w:rPr>
        <w:t>i</w:t>
      </w:r>
      <w:r w:rsidR="00D73ABC" w:rsidRPr="004C5695">
        <w:rPr>
          <w:bCs/>
          <w:sz w:val="28"/>
          <w:szCs w:val="28"/>
          <w:shd w:val="clear" w:color="auto" w:fill="FFFFFF"/>
        </w:rPr>
        <w:t>nstituţiile publice, astfel cum sunt definite la art. 2 alin. (1) </w:t>
      </w:r>
      <w:hyperlink r:id="rId5" w:anchor="p-65690193" w:tgtFrame="_blank" w:history="1">
        <w:r w:rsidR="00D73ABC" w:rsidRPr="004C5695">
          <w:rPr>
            <w:bCs/>
            <w:sz w:val="28"/>
            <w:szCs w:val="28"/>
            <w:shd w:val="clear" w:color="auto" w:fill="FFFFFF"/>
          </w:rPr>
          <w:t>pct. 30</w:t>
        </w:r>
      </w:hyperlink>
      <w:r w:rsidR="00D73ABC" w:rsidRPr="004C5695">
        <w:rPr>
          <w:bCs/>
          <w:sz w:val="28"/>
          <w:szCs w:val="28"/>
          <w:shd w:val="clear" w:color="auto" w:fill="FFFFFF"/>
        </w:rPr>
        <w:t> din Legea nr. 500/2002 privind finanţele publice, cu modificările şi completările ulterioare, şi la art. 2 alin. (1) </w:t>
      </w:r>
      <w:hyperlink r:id="rId6" w:anchor="p-29475598" w:tgtFrame="_blank" w:history="1">
        <w:r w:rsidR="00D73ABC" w:rsidRPr="004C5695">
          <w:rPr>
            <w:bCs/>
            <w:sz w:val="28"/>
            <w:szCs w:val="28"/>
            <w:shd w:val="clear" w:color="auto" w:fill="FFFFFF"/>
          </w:rPr>
          <w:t>pct. 39</w:t>
        </w:r>
      </w:hyperlink>
      <w:r w:rsidR="00D73ABC" w:rsidRPr="004C5695">
        <w:rPr>
          <w:bCs/>
          <w:sz w:val="28"/>
          <w:szCs w:val="28"/>
          <w:shd w:val="clear" w:color="auto" w:fill="FFFFFF"/>
        </w:rPr>
        <w:t xml:space="preserve"> din Legea nr. 273/2006 privind finanţele publice locale, cu modificările şi completările ulterioare, indiferent de sistemul de finanţare şi de subordonare, inclusiv activităţile finanţate integral din venituri proprii, înfiinţate pe lângă instituţiile publice, precum și </w:t>
      </w:r>
      <w:r w:rsidR="00D73ABC" w:rsidRPr="004C5695">
        <w:rPr>
          <w:sz w:val="28"/>
          <w:szCs w:val="28"/>
        </w:rPr>
        <w:t>angajatorii care încadrează personal prin încheierea unui contract individual de muncă acordă, în condiţiile legii, anual, până la data de 31 decembrie 2026, bonuri de valoare, denumite în continuare vouchere de vacanţă, în</w:t>
      </w:r>
      <w:r w:rsidR="00F01812">
        <w:rPr>
          <w:sz w:val="28"/>
          <w:szCs w:val="28"/>
        </w:rPr>
        <w:t xml:space="preserve"> cuantum de 1.450 lei pentru fiecare </w:t>
      </w:r>
      <w:r w:rsidR="00D73ABC" w:rsidRPr="004C5695">
        <w:rPr>
          <w:sz w:val="28"/>
          <w:szCs w:val="28"/>
        </w:rPr>
        <w:t>salariat.</w:t>
      </w:r>
      <w:r w:rsidRPr="004C5695">
        <w:rPr>
          <w:sz w:val="28"/>
          <w:szCs w:val="28"/>
        </w:rPr>
        <w:t>”</w:t>
      </w:r>
    </w:p>
    <w:p w14:paraId="1D341BF2" w14:textId="70A99A19" w:rsidR="000625EF" w:rsidRPr="004C5695" w:rsidRDefault="000625EF" w:rsidP="00D73ABC">
      <w:pPr>
        <w:pStyle w:val="al"/>
        <w:spacing w:line="345" w:lineRule="atLeast"/>
        <w:rPr>
          <w:rStyle w:val="Hyperlink"/>
          <w:rFonts w:eastAsia="Times New Roman"/>
          <w:sz w:val="28"/>
          <w:szCs w:val="28"/>
          <w:u w:val="none"/>
        </w:rPr>
      </w:pPr>
    </w:p>
    <w:p w14:paraId="0A6F39D9" w14:textId="4FEC5A46" w:rsidR="00255201" w:rsidRPr="004C5695" w:rsidRDefault="00CD61CE" w:rsidP="005621C9">
      <w:pPr>
        <w:pStyle w:val="ListParagraph"/>
        <w:numPr>
          <w:ilvl w:val="0"/>
          <w:numId w:val="8"/>
        </w:numPr>
        <w:spacing w:line="345" w:lineRule="atLeast"/>
        <w:jc w:val="both"/>
        <w:rPr>
          <w:rStyle w:val="Hyperlink"/>
          <w:rFonts w:ascii="Times New Roman" w:hAnsi="Times New Roman" w:cs="Times New Roman"/>
          <w:b/>
          <w:color w:val="333333"/>
          <w:sz w:val="28"/>
          <w:szCs w:val="28"/>
          <w:u w:val="none"/>
        </w:rPr>
      </w:pPr>
      <w:r w:rsidRPr="004C5695">
        <w:rPr>
          <w:rStyle w:val="Hyperlink"/>
          <w:rFonts w:ascii="Times New Roman" w:eastAsia="Times New Roman" w:hAnsi="Times New Roman" w:cs="Times New Roman"/>
          <w:b/>
          <w:color w:val="auto"/>
          <w:sz w:val="28"/>
          <w:szCs w:val="28"/>
          <w:u w:val="none"/>
        </w:rPr>
        <w:t>La a</w:t>
      </w:r>
      <w:r w:rsidR="00255201" w:rsidRPr="004C5695">
        <w:rPr>
          <w:rStyle w:val="Hyperlink"/>
          <w:rFonts w:ascii="Times New Roman" w:eastAsia="Times New Roman" w:hAnsi="Times New Roman" w:cs="Times New Roman"/>
          <w:b/>
          <w:color w:val="auto"/>
          <w:sz w:val="28"/>
          <w:szCs w:val="28"/>
          <w:u w:val="none"/>
        </w:rPr>
        <w:t>rticolul 1, alineatele</w:t>
      </w:r>
      <w:r w:rsidR="00915765" w:rsidRPr="004C5695">
        <w:rPr>
          <w:rStyle w:val="Hyperlink"/>
          <w:rFonts w:ascii="Times New Roman" w:eastAsia="Times New Roman" w:hAnsi="Times New Roman" w:cs="Times New Roman"/>
          <w:b/>
          <w:color w:val="auto"/>
          <w:sz w:val="28"/>
          <w:szCs w:val="28"/>
          <w:u w:val="none"/>
        </w:rPr>
        <w:t xml:space="preserve"> (2)</w:t>
      </w:r>
      <w:r w:rsidR="00255201" w:rsidRPr="004C5695">
        <w:rPr>
          <w:rStyle w:val="Hyperlink"/>
          <w:rFonts w:ascii="Times New Roman" w:eastAsia="Times New Roman" w:hAnsi="Times New Roman" w:cs="Times New Roman"/>
          <w:b/>
          <w:color w:val="auto"/>
          <w:sz w:val="28"/>
          <w:szCs w:val="28"/>
          <w:u w:val="none"/>
        </w:rPr>
        <w:t xml:space="preserve"> și</w:t>
      </w:r>
      <w:r w:rsidR="00915765" w:rsidRPr="004C5695">
        <w:rPr>
          <w:rStyle w:val="Hyperlink"/>
          <w:rFonts w:ascii="Times New Roman" w:eastAsia="Times New Roman" w:hAnsi="Times New Roman" w:cs="Times New Roman"/>
          <w:b/>
          <w:color w:val="auto"/>
          <w:sz w:val="28"/>
          <w:szCs w:val="28"/>
          <w:u w:val="none"/>
        </w:rPr>
        <w:t xml:space="preserve"> </w:t>
      </w:r>
      <w:r w:rsidR="00255201" w:rsidRPr="004C5695">
        <w:rPr>
          <w:rFonts w:ascii="Times New Roman" w:hAnsi="Times New Roman" w:cs="Times New Roman"/>
          <w:b/>
          <w:color w:val="333333"/>
          <w:sz w:val="28"/>
          <w:szCs w:val="28"/>
        </w:rPr>
        <w:t>(2</w:t>
      </w:r>
      <w:r w:rsidR="00255201" w:rsidRPr="004C5695">
        <w:rPr>
          <w:rFonts w:ascii="Times New Roman" w:hAnsi="Times New Roman" w:cs="Times New Roman"/>
          <w:b/>
          <w:color w:val="333333"/>
          <w:sz w:val="28"/>
          <w:szCs w:val="28"/>
          <w:vertAlign w:val="superscript"/>
        </w:rPr>
        <w:t>4</w:t>
      </w:r>
      <w:r w:rsidR="00255201" w:rsidRPr="004C5695">
        <w:rPr>
          <w:rFonts w:ascii="Times New Roman" w:hAnsi="Times New Roman" w:cs="Times New Roman"/>
          <w:b/>
          <w:color w:val="333333"/>
          <w:sz w:val="28"/>
          <w:szCs w:val="28"/>
        </w:rPr>
        <w:t xml:space="preserve">) </w:t>
      </w:r>
      <w:r w:rsidR="00915765" w:rsidRPr="004C5695">
        <w:rPr>
          <w:rStyle w:val="Hyperlink"/>
          <w:rFonts w:ascii="Times New Roman" w:eastAsia="Times New Roman" w:hAnsi="Times New Roman" w:cs="Times New Roman"/>
          <w:b/>
          <w:color w:val="auto"/>
          <w:sz w:val="28"/>
          <w:szCs w:val="28"/>
          <w:u w:val="none"/>
        </w:rPr>
        <w:t>se abrogă</w:t>
      </w:r>
      <w:r w:rsidR="00255201" w:rsidRPr="004C5695">
        <w:rPr>
          <w:rStyle w:val="Hyperlink"/>
          <w:rFonts w:ascii="Times New Roman" w:eastAsia="Times New Roman" w:hAnsi="Times New Roman" w:cs="Times New Roman"/>
          <w:b/>
          <w:color w:val="auto"/>
          <w:sz w:val="28"/>
          <w:szCs w:val="28"/>
          <w:u w:val="none"/>
        </w:rPr>
        <w:t>.</w:t>
      </w:r>
    </w:p>
    <w:p w14:paraId="696361B1" w14:textId="77777777" w:rsidR="00255201" w:rsidRPr="004C5695" w:rsidRDefault="00255201" w:rsidP="00255201">
      <w:pPr>
        <w:pStyle w:val="ListParagraph"/>
        <w:spacing w:line="345" w:lineRule="atLeast"/>
        <w:jc w:val="both"/>
        <w:rPr>
          <w:rStyle w:val="Hyperlink"/>
          <w:rFonts w:ascii="Times New Roman" w:hAnsi="Times New Roman" w:cs="Times New Roman"/>
          <w:b/>
          <w:color w:val="333333"/>
          <w:sz w:val="28"/>
          <w:szCs w:val="28"/>
          <w:u w:val="none"/>
        </w:rPr>
      </w:pPr>
    </w:p>
    <w:p w14:paraId="77CB7E63" w14:textId="52758AA8" w:rsidR="00915765" w:rsidRPr="004C5695" w:rsidRDefault="00915765" w:rsidP="00255201">
      <w:pPr>
        <w:pStyle w:val="al"/>
        <w:numPr>
          <w:ilvl w:val="0"/>
          <w:numId w:val="8"/>
        </w:numPr>
        <w:spacing w:line="345" w:lineRule="atLeast"/>
        <w:rPr>
          <w:b/>
          <w:color w:val="333333"/>
          <w:sz w:val="28"/>
          <w:szCs w:val="28"/>
        </w:rPr>
      </w:pPr>
      <w:r w:rsidRPr="004C5695">
        <w:rPr>
          <w:b/>
          <w:color w:val="333333"/>
          <w:sz w:val="28"/>
          <w:szCs w:val="28"/>
        </w:rPr>
        <w:t xml:space="preserve">La articolul 1, alineatul (3) se modifică și va avea următorul cuprins: </w:t>
      </w:r>
    </w:p>
    <w:p w14:paraId="42CE1230" w14:textId="77777777" w:rsidR="00A552DA" w:rsidRPr="004C5695" w:rsidRDefault="00A552DA">
      <w:pPr>
        <w:pStyle w:val="al"/>
        <w:spacing w:line="345" w:lineRule="atLeast"/>
        <w:rPr>
          <w:color w:val="333333"/>
          <w:sz w:val="28"/>
          <w:szCs w:val="28"/>
        </w:rPr>
      </w:pPr>
    </w:p>
    <w:p w14:paraId="0E07D382" w14:textId="18C7DDFD" w:rsidR="000625EF" w:rsidRPr="004C5695" w:rsidRDefault="00122F75">
      <w:pPr>
        <w:pStyle w:val="al"/>
        <w:spacing w:line="345" w:lineRule="atLeast"/>
        <w:rPr>
          <w:sz w:val="28"/>
          <w:szCs w:val="28"/>
        </w:rPr>
      </w:pPr>
      <w:r w:rsidRPr="004C5695">
        <w:rPr>
          <w:sz w:val="28"/>
          <w:szCs w:val="28"/>
        </w:rPr>
        <w:t>„</w:t>
      </w:r>
      <w:r w:rsidR="007762AF" w:rsidRPr="004C5695">
        <w:rPr>
          <w:sz w:val="28"/>
          <w:szCs w:val="28"/>
        </w:rPr>
        <w:t>(3) Voucherele de vacanţă se acordă în limitele sumelor prevăzute cu această destinaţie în bugetul de stat sau, după caz, în bugetele locale</w:t>
      </w:r>
      <w:r w:rsidRPr="004C5695">
        <w:rPr>
          <w:sz w:val="28"/>
          <w:szCs w:val="28"/>
        </w:rPr>
        <w:t>.</w:t>
      </w:r>
      <w:r w:rsidR="00255201" w:rsidRPr="004C5695">
        <w:rPr>
          <w:sz w:val="28"/>
          <w:szCs w:val="28"/>
        </w:rPr>
        <w:t>”</w:t>
      </w:r>
    </w:p>
    <w:p w14:paraId="712E69EB" w14:textId="77777777" w:rsidR="00A552DA" w:rsidRPr="004C5695" w:rsidRDefault="00A552DA">
      <w:pPr>
        <w:pStyle w:val="al"/>
        <w:spacing w:line="345" w:lineRule="atLeast"/>
        <w:rPr>
          <w:color w:val="333333"/>
          <w:sz w:val="28"/>
          <w:szCs w:val="28"/>
        </w:rPr>
      </w:pPr>
    </w:p>
    <w:p w14:paraId="6E0D5205" w14:textId="41160C6D" w:rsidR="00255201" w:rsidRPr="004C5695" w:rsidRDefault="00255201" w:rsidP="005621C9">
      <w:pPr>
        <w:pStyle w:val="al"/>
        <w:numPr>
          <w:ilvl w:val="0"/>
          <w:numId w:val="8"/>
        </w:numPr>
        <w:spacing w:line="345" w:lineRule="atLeast"/>
        <w:rPr>
          <w:b/>
          <w:color w:val="333333"/>
          <w:sz w:val="28"/>
          <w:szCs w:val="28"/>
        </w:rPr>
      </w:pPr>
      <w:r w:rsidRPr="004C5695">
        <w:rPr>
          <w:b/>
          <w:color w:val="333333"/>
          <w:sz w:val="28"/>
          <w:szCs w:val="28"/>
        </w:rPr>
        <w:t xml:space="preserve">La articolul 1, alineatele (4) și (5) </w:t>
      </w:r>
      <w:r w:rsidR="00915765" w:rsidRPr="004C5695">
        <w:rPr>
          <w:b/>
          <w:color w:val="333333"/>
          <w:sz w:val="28"/>
          <w:szCs w:val="28"/>
        </w:rPr>
        <w:t>se abrogă</w:t>
      </w:r>
      <w:r w:rsidRPr="004C5695">
        <w:rPr>
          <w:b/>
          <w:color w:val="333333"/>
          <w:sz w:val="28"/>
          <w:szCs w:val="28"/>
        </w:rPr>
        <w:t>.</w:t>
      </w:r>
    </w:p>
    <w:p w14:paraId="3B555B5A" w14:textId="77777777" w:rsidR="00762805" w:rsidRPr="004C5695" w:rsidRDefault="00762805">
      <w:pPr>
        <w:pStyle w:val="al"/>
        <w:spacing w:line="345" w:lineRule="atLeast"/>
        <w:rPr>
          <w:color w:val="333333"/>
          <w:sz w:val="28"/>
          <w:szCs w:val="28"/>
        </w:rPr>
      </w:pPr>
    </w:p>
    <w:p w14:paraId="7FD71F6B" w14:textId="305C10F8" w:rsidR="00864913" w:rsidRPr="004C5695" w:rsidRDefault="00762805" w:rsidP="00A5057D">
      <w:pPr>
        <w:pStyle w:val="al"/>
        <w:numPr>
          <w:ilvl w:val="0"/>
          <w:numId w:val="8"/>
        </w:numPr>
        <w:spacing w:line="345" w:lineRule="atLeast"/>
        <w:rPr>
          <w:b/>
          <w:color w:val="333333"/>
          <w:sz w:val="28"/>
          <w:szCs w:val="28"/>
        </w:rPr>
      </w:pPr>
      <w:r w:rsidRPr="004C5695">
        <w:rPr>
          <w:b/>
          <w:color w:val="333333"/>
          <w:sz w:val="28"/>
          <w:szCs w:val="28"/>
        </w:rPr>
        <w:t xml:space="preserve">La articolul 1, alineatul (9) se modifică și va avea următorul cuprins: </w:t>
      </w:r>
    </w:p>
    <w:p w14:paraId="549E6A1B" w14:textId="77777777" w:rsidR="00762805" w:rsidRPr="004C5695" w:rsidRDefault="00762805">
      <w:pPr>
        <w:pStyle w:val="al"/>
        <w:spacing w:line="345" w:lineRule="atLeast"/>
        <w:rPr>
          <w:b/>
          <w:color w:val="333333"/>
          <w:sz w:val="28"/>
          <w:szCs w:val="28"/>
        </w:rPr>
      </w:pPr>
    </w:p>
    <w:p w14:paraId="66AFB241" w14:textId="418143CE" w:rsidR="00943450" w:rsidRPr="004C5695" w:rsidRDefault="00180963">
      <w:pPr>
        <w:pStyle w:val="al"/>
        <w:spacing w:line="345" w:lineRule="atLeast"/>
        <w:rPr>
          <w:sz w:val="28"/>
          <w:szCs w:val="28"/>
        </w:rPr>
      </w:pPr>
      <w:r w:rsidRPr="004C5695">
        <w:rPr>
          <w:sz w:val="28"/>
          <w:szCs w:val="28"/>
        </w:rPr>
        <w:t>„</w:t>
      </w:r>
      <w:r w:rsidR="00A5057D" w:rsidRPr="004C5695">
        <w:rPr>
          <w:sz w:val="28"/>
          <w:szCs w:val="28"/>
        </w:rPr>
        <w:t xml:space="preserve">(9) În cursul anului fiscal, angajații pot beneficia de vouchere de vacanță, de prima de vacanță și de bilete de odihnă acordate potrivit </w:t>
      </w:r>
      <w:r w:rsidR="007762AF" w:rsidRPr="004C5695">
        <w:rPr>
          <w:sz w:val="28"/>
          <w:szCs w:val="28"/>
        </w:rPr>
        <w:t xml:space="preserve">Legii </w:t>
      </w:r>
      <w:hyperlink r:id="rId7" w:tgtFrame="_blank" w:history="1">
        <w:r w:rsidR="007762AF" w:rsidRPr="004C5695">
          <w:rPr>
            <w:rStyle w:val="Hyperlink"/>
            <w:color w:val="auto"/>
            <w:sz w:val="28"/>
            <w:szCs w:val="28"/>
            <w:u w:val="none"/>
          </w:rPr>
          <w:t>nr. 263/2010</w:t>
        </w:r>
      </w:hyperlink>
      <w:r w:rsidR="007762AF" w:rsidRPr="004C5695">
        <w:rPr>
          <w:sz w:val="28"/>
          <w:szCs w:val="28"/>
        </w:rPr>
        <w:t xml:space="preserve"> privind sistemul unitar de pensii publice, cu modificările şi completările ulterioare.</w:t>
      </w:r>
      <w:r w:rsidRPr="004C5695">
        <w:rPr>
          <w:sz w:val="28"/>
          <w:szCs w:val="28"/>
        </w:rPr>
        <w:t>”</w:t>
      </w:r>
    </w:p>
    <w:p w14:paraId="30EAE313" w14:textId="1EA3EB96" w:rsidR="0027324C" w:rsidRPr="004C5695" w:rsidRDefault="00A04863" w:rsidP="005621C9">
      <w:pPr>
        <w:pStyle w:val="al"/>
        <w:numPr>
          <w:ilvl w:val="0"/>
          <w:numId w:val="8"/>
        </w:numPr>
        <w:spacing w:line="345" w:lineRule="atLeast"/>
        <w:ind w:left="0" w:firstLine="360"/>
        <w:rPr>
          <w:b/>
          <w:sz w:val="28"/>
          <w:szCs w:val="28"/>
        </w:rPr>
      </w:pPr>
      <w:r w:rsidRPr="004C5695">
        <w:rPr>
          <w:b/>
          <w:color w:val="333333"/>
          <w:sz w:val="28"/>
          <w:szCs w:val="28"/>
        </w:rPr>
        <w:lastRenderedPageBreak/>
        <w:t>După articolul 1</w:t>
      </w:r>
      <w:r w:rsidRPr="004C5695">
        <w:rPr>
          <w:b/>
          <w:color w:val="333333"/>
          <w:sz w:val="28"/>
          <w:szCs w:val="28"/>
          <w:vertAlign w:val="superscript"/>
        </w:rPr>
        <w:t>1</w:t>
      </w:r>
      <w:r w:rsidRPr="004C5695">
        <w:rPr>
          <w:b/>
          <w:color w:val="333333"/>
          <w:sz w:val="28"/>
          <w:szCs w:val="28"/>
        </w:rPr>
        <w:t>, se introduce un articol nou, art. 1</w:t>
      </w:r>
      <w:r w:rsidRPr="004C5695">
        <w:rPr>
          <w:b/>
          <w:color w:val="333333"/>
          <w:sz w:val="28"/>
          <w:szCs w:val="28"/>
          <w:vertAlign w:val="superscript"/>
        </w:rPr>
        <w:t>2</w:t>
      </w:r>
      <w:r w:rsidRPr="004C5695">
        <w:rPr>
          <w:b/>
          <w:color w:val="333333"/>
          <w:sz w:val="28"/>
          <w:szCs w:val="28"/>
        </w:rPr>
        <w:t>, cu următorul cuprins:</w:t>
      </w:r>
    </w:p>
    <w:p w14:paraId="7DE7B484" w14:textId="77777777" w:rsidR="00943450" w:rsidRPr="004C5695" w:rsidRDefault="00943450" w:rsidP="00943450">
      <w:pPr>
        <w:rPr>
          <w:rFonts w:ascii="Times New Roman" w:hAnsi="Times New Roman" w:cs="Times New Roman"/>
          <w:b/>
          <w:sz w:val="28"/>
          <w:szCs w:val="28"/>
        </w:rPr>
      </w:pPr>
    </w:p>
    <w:p w14:paraId="66331B74" w14:textId="4918F8AD" w:rsidR="00D73ABC" w:rsidRPr="004C5695" w:rsidRDefault="00180963" w:rsidP="00180963">
      <w:pPr>
        <w:pStyle w:val="ListParagraph"/>
        <w:ind w:left="0"/>
        <w:jc w:val="both"/>
        <w:rPr>
          <w:rFonts w:ascii="Times New Roman" w:hAnsi="Times New Roman" w:cs="Times New Roman"/>
          <w:sz w:val="28"/>
          <w:szCs w:val="28"/>
        </w:rPr>
      </w:pPr>
      <w:r w:rsidRPr="004C5695">
        <w:rPr>
          <w:rFonts w:ascii="Times New Roman" w:hAnsi="Times New Roman" w:cs="Times New Roman"/>
          <w:sz w:val="28"/>
          <w:szCs w:val="28"/>
        </w:rPr>
        <w:t>„</w:t>
      </w:r>
      <w:r w:rsidR="00937D04">
        <w:rPr>
          <w:rFonts w:ascii="Times New Roman" w:hAnsi="Times New Roman" w:cs="Times New Roman"/>
          <w:sz w:val="28"/>
          <w:szCs w:val="28"/>
        </w:rPr>
        <w:t>Art. 1</w:t>
      </w:r>
      <w:r w:rsidR="00937D04">
        <w:rPr>
          <w:rFonts w:ascii="Times New Roman" w:hAnsi="Times New Roman" w:cs="Times New Roman"/>
          <w:sz w:val="28"/>
          <w:szCs w:val="28"/>
          <w:vertAlign w:val="superscript"/>
        </w:rPr>
        <w:t xml:space="preserve">2. - </w:t>
      </w:r>
      <w:r w:rsidRPr="004C5695">
        <w:rPr>
          <w:rFonts w:ascii="Times New Roman" w:hAnsi="Times New Roman" w:cs="Times New Roman"/>
          <w:sz w:val="28"/>
          <w:szCs w:val="28"/>
        </w:rPr>
        <w:t xml:space="preserve">(1) </w:t>
      </w:r>
      <w:r w:rsidR="00D73ABC" w:rsidRPr="004C5695">
        <w:rPr>
          <w:rFonts w:ascii="Times New Roman" w:hAnsi="Times New Roman" w:cs="Times New Roman"/>
          <w:sz w:val="28"/>
          <w:szCs w:val="28"/>
        </w:rPr>
        <w:t>În vederea acordării voucherelor de vacanță, angajatorii, alții decât instituţiile publice, astfel cum sunt definite la art. 2 alin. (1) pct. 30 din Legea nr. 500/2002 privind finanţele publice, cu modificările şi completările ulterioare, şi la art. 2 alin. (1) pct. 39 din Legea nr. 273/2006 privind finanţele publice locale, cu modificările şi completările ulterioare, indiferent de sistemul de finanţare şi de subordonare, inclusiv activităţile finanţate integral din venituri proprii, înfiinţate pe lângă institu</w:t>
      </w:r>
      <w:r w:rsidR="00A04863" w:rsidRPr="004C5695">
        <w:rPr>
          <w:rFonts w:ascii="Times New Roman" w:hAnsi="Times New Roman" w:cs="Times New Roman"/>
          <w:sz w:val="28"/>
          <w:szCs w:val="28"/>
        </w:rPr>
        <w:t xml:space="preserve">ţiile publice, </w:t>
      </w:r>
      <w:r w:rsidR="00D73ABC" w:rsidRPr="004C5695">
        <w:rPr>
          <w:rFonts w:ascii="Times New Roman" w:hAnsi="Times New Roman" w:cs="Times New Roman"/>
          <w:sz w:val="28"/>
          <w:szCs w:val="28"/>
        </w:rPr>
        <w:t xml:space="preserve">depun anual, până la data de 31 ianuarie, lista salariaților, </w:t>
      </w:r>
      <w:r w:rsidR="00F01812">
        <w:rPr>
          <w:rFonts w:ascii="Times New Roman" w:hAnsi="Times New Roman" w:cs="Times New Roman"/>
          <w:sz w:val="28"/>
          <w:szCs w:val="28"/>
        </w:rPr>
        <w:t>la administrațiile județene ale finanțelor publice în raza cărora</w:t>
      </w:r>
      <w:r w:rsidR="00D73ABC" w:rsidRPr="004C5695">
        <w:rPr>
          <w:rFonts w:ascii="Times New Roman" w:hAnsi="Times New Roman" w:cs="Times New Roman"/>
          <w:sz w:val="28"/>
          <w:szCs w:val="28"/>
        </w:rPr>
        <w:t xml:space="preserve"> își au sediul social.</w:t>
      </w:r>
    </w:p>
    <w:p w14:paraId="51B110E6" w14:textId="73C44968" w:rsidR="00D73ABC" w:rsidRPr="004C5695" w:rsidRDefault="00D73ABC" w:rsidP="00180963">
      <w:pPr>
        <w:pStyle w:val="ListParagraph"/>
        <w:numPr>
          <w:ilvl w:val="0"/>
          <w:numId w:val="9"/>
        </w:numPr>
        <w:ind w:left="0" w:firstLine="0"/>
        <w:jc w:val="both"/>
        <w:rPr>
          <w:rFonts w:ascii="Times New Roman" w:hAnsi="Times New Roman" w:cs="Times New Roman"/>
          <w:sz w:val="28"/>
          <w:szCs w:val="28"/>
        </w:rPr>
      </w:pPr>
      <w:r w:rsidRPr="004C5695">
        <w:rPr>
          <w:rFonts w:ascii="Times New Roman" w:hAnsi="Times New Roman" w:cs="Times New Roman"/>
          <w:bCs/>
          <w:sz w:val="28"/>
          <w:szCs w:val="28"/>
        </w:rPr>
        <w:t xml:space="preserve">Indiferent </w:t>
      </w:r>
      <w:r w:rsidRPr="004C5695">
        <w:rPr>
          <w:rFonts w:ascii="Times New Roman" w:hAnsi="Times New Roman" w:cs="Times New Roman"/>
          <w:bCs/>
          <w:sz w:val="28"/>
          <w:szCs w:val="28"/>
          <w:lang w:val="en-GB"/>
        </w:rPr>
        <w:t>de num</w:t>
      </w:r>
      <w:r w:rsidRPr="004C5695">
        <w:rPr>
          <w:rFonts w:ascii="Times New Roman" w:hAnsi="Times New Roman" w:cs="Times New Roman"/>
          <w:bCs/>
          <w:sz w:val="28"/>
          <w:szCs w:val="28"/>
        </w:rPr>
        <w:t>ă</w:t>
      </w:r>
      <w:r w:rsidRPr="004C5695">
        <w:rPr>
          <w:rFonts w:ascii="Times New Roman" w:hAnsi="Times New Roman" w:cs="Times New Roman"/>
          <w:bCs/>
          <w:sz w:val="28"/>
          <w:szCs w:val="28"/>
          <w:lang w:val="en-GB"/>
        </w:rPr>
        <w:t xml:space="preserve">rul  contractelor individuale de muncă pe care le are în derulare, un angajat poate alege </w:t>
      </w:r>
      <w:r w:rsidRPr="004C5695">
        <w:rPr>
          <w:rFonts w:ascii="Times New Roman" w:hAnsi="Times New Roman" w:cs="Times New Roman"/>
          <w:sz w:val="28"/>
          <w:szCs w:val="28"/>
        </w:rPr>
        <w:t>un singur angajator de la care urmează să primească voucherele de vacanță.</w:t>
      </w:r>
    </w:p>
    <w:p w14:paraId="10E226A4" w14:textId="55BA94F6" w:rsidR="00D73ABC" w:rsidRPr="004C5695" w:rsidRDefault="00180963" w:rsidP="00180963">
      <w:pPr>
        <w:pStyle w:val="ListParagraph"/>
        <w:ind w:left="0"/>
        <w:jc w:val="both"/>
        <w:rPr>
          <w:rFonts w:ascii="Times New Roman" w:hAnsi="Times New Roman" w:cs="Times New Roman"/>
          <w:sz w:val="28"/>
          <w:szCs w:val="28"/>
        </w:rPr>
      </w:pPr>
      <w:r w:rsidRPr="004C5695">
        <w:rPr>
          <w:rFonts w:ascii="Times New Roman" w:hAnsi="Times New Roman" w:cs="Times New Roman"/>
          <w:bCs/>
          <w:sz w:val="28"/>
          <w:szCs w:val="28"/>
        </w:rPr>
        <w:t xml:space="preserve">(3) </w:t>
      </w:r>
      <w:r w:rsidR="00D73ABC" w:rsidRPr="004C5695">
        <w:rPr>
          <w:rFonts w:ascii="Times New Roman" w:hAnsi="Times New Roman" w:cs="Times New Roman"/>
          <w:bCs/>
          <w:sz w:val="28"/>
          <w:szCs w:val="28"/>
        </w:rPr>
        <w:t xml:space="preserve">Angajații au obligația să depună o declarație pe proprie răspundere la fiecare dintre angajatori, prin care își </w:t>
      </w:r>
      <w:r w:rsidR="00A04863" w:rsidRPr="004C5695">
        <w:rPr>
          <w:rFonts w:ascii="Times New Roman" w:hAnsi="Times New Roman" w:cs="Times New Roman"/>
          <w:bCs/>
          <w:sz w:val="28"/>
          <w:szCs w:val="28"/>
        </w:rPr>
        <w:t>exprimă opțiunea</w:t>
      </w:r>
      <w:r w:rsidR="00D73ABC" w:rsidRPr="004C5695">
        <w:rPr>
          <w:rFonts w:ascii="Times New Roman" w:hAnsi="Times New Roman" w:cs="Times New Roman"/>
          <w:bCs/>
          <w:sz w:val="28"/>
          <w:szCs w:val="28"/>
        </w:rPr>
        <w:t xml:space="preserve"> potrivit alin. (2).</w:t>
      </w:r>
    </w:p>
    <w:p w14:paraId="4EF1284F" w14:textId="447B6E00" w:rsidR="00D73ABC" w:rsidRPr="004C5695" w:rsidRDefault="00180963" w:rsidP="00180963">
      <w:pPr>
        <w:pStyle w:val="ListParagraph"/>
        <w:ind w:left="0"/>
        <w:jc w:val="both"/>
        <w:rPr>
          <w:rFonts w:ascii="Times New Roman" w:hAnsi="Times New Roman" w:cs="Times New Roman"/>
          <w:sz w:val="28"/>
          <w:szCs w:val="28"/>
        </w:rPr>
      </w:pPr>
      <w:r w:rsidRPr="004C5695">
        <w:rPr>
          <w:rFonts w:ascii="Times New Roman" w:hAnsi="Times New Roman" w:cs="Times New Roman"/>
          <w:sz w:val="28"/>
          <w:szCs w:val="28"/>
        </w:rPr>
        <w:t xml:space="preserve">(4) </w:t>
      </w:r>
      <w:r w:rsidR="00D73ABC" w:rsidRPr="004C5695">
        <w:rPr>
          <w:rFonts w:ascii="Times New Roman" w:hAnsi="Times New Roman" w:cs="Times New Roman"/>
          <w:sz w:val="28"/>
          <w:szCs w:val="28"/>
        </w:rPr>
        <w:t xml:space="preserve">Angajatorii își asumă răspunderea pentru corectitudinea și veridicitatea datelor, </w:t>
      </w:r>
      <w:r w:rsidR="00D73ABC" w:rsidRPr="004C5695">
        <w:rPr>
          <w:rFonts w:ascii="Times New Roman" w:hAnsi="Times New Roman" w:cs="Times New Roman"/>
          <w:bCs/>
          <w:sz w:val="28"/>
          <w:szCs w:val="28"/>
        </w:rPr>
        <w:t xml:space="preserve">prezentând la </w:t>
      </w:r>
      <w:r w:rsidR="00F01812">
        <w:rPr>
          <w:rFonts w:ascii="Times New Roman" w:hAnsi="Times New Roman" w:cs="Times New Roman"/>
          <w:sz w:val="28"/>
          <w:szCs w:val="28"/>
        </w:rPr>
        <w:t xml:space="preserve">administrațiile județene ale finanțelor publice în raza cărora își au sediul social, </w:t>
      </w:r>
      <w:r w:rsidR="002920B9">
        <w:rPr>
          <w:rFonts w:ascii="Times New Roman" w:hAnsi="Times New Roman" w:cs="Times New Roman"/>
          <w:sz w:val="28"/>
          <w:szCs w:val="28"/>
        </w:rPr>
        <w:t xml:space="preserve">lista prevăzută la alin. (1), </w:t>
      </w:r>
      <w:r w:rsidR="00D73ABC" w:rsidRPr="004C5695">
        <w:rPr>
          <w:rFonts w:ascii="Times New Roman" w:hAnsi="Times New Roman" w:cs="Times New Roman"/>
          <w:bCs/>
          <w:sz w:val="28"/>
          <w:szCs w:val="28"/>
        </w:rPr>
        <w:t>însoțită</w:t>
      </w:r>
      <w:r w:rsidR="00A04863" w:rsidRPr="004C5695">
        <w:rPr>
          <w:rFonts w:ascii="Times New Roman" w:hAnsi="Times New Roman" w:cs="Times New Roman"/>
          <w:bCs/>
          <w:sz w:val="28"/>
          <w:szCs w:val="28"/>
        </w:rPr>
        <w:t xml:space="preserve"> </w:t>
      </w:r>
      <w:r w:rsidR="00D73ABC" w:rsidRPr="004C5695">
        <w:rPr>
          <w:rFonts w:ascii="Times New Roman" w:hAnsi="Times New Roman" w:cs="Times New Roman"/>
          <w:bCs/>
          <w:sz w:val="28"/>
          <w:szCs w:val="28"/>
        </w:rPr>
        <w:t>de declarațiile pe proprie răspundere ale angajaților</w:t>
      </w:r>
      <w:r w:rsidR="00D73ABC" w:rsidRPr="004C5695">
        <w:rPr>
          <w:rFonts w:ascii="Times New Roman" w:hAnsi="Times New Roman" w:cs="Times New Roman"/>
          <w:sz w:val="28"/>
          <w:szCs w:val="28"/>
        </w:rPr>
        <w:t>.</w:t>
      </w:r>
    </w:p>
    <w:p w14:paraId="50D76CF5" w14:textId="77777777" w:rsidR="007F3B29" w:rsidRDefault="00180963" w:rsidP="007F3B29">
      <w:pPr>
        <w:pStyle w:val="ListParagraph"/>
        <w:ind w:left="0"/>
        <w:jc w:val="both"/>
        <w:rPr>
          <w:rFonts w:ascii="Times New Roman" w:hAnsi="Times New Roman" w:cs="Times New Roman"/>
          <w:sz w:val="28"/>
          <w:szCs w:val="28"/>
        </w:rPr>
      </w:pPr>
      <w:r w:rsidRPr="004C5695">
        <w:rPr>
          <w:rFonts w:ascii="Times New Roman" w:hAnsi="Times New Roman" w:cs="Times New Roman"/>
          <w:sz w:val="28"/>
          <w:szCs w:val="28"/>
        </w:rPr>
        <w:t xml:space="preserve">(5) </w:t>
      </w:r>
      <w:r w:rsidR="00D73ABC" w:rsidRPr="004C5695">
        <w:rPr>
          <w:rFonts w:ascii="Times New Roman" w:hAnsi="Times New Roman" w:cs="Times New Roman"/>
          <w:sz w:val="28"/>
          <w:szCs w:val="28"/>
        </w:rPr>
        <w:t>Sumele corespunzătoare voucherelor de vacanță se</w:t>
      </w:r>
      <w:r w:rsidR="00A04863" w:rsidRPr="004C5695">
        <w:rPr>
          <w:rFonts w:ascii="Times New Roman" w:hAnsi="Times New Roman" w:cs="Times New Roman"/>
          <w:sz w:val="28"/>
          <w:szCs w:val="28"/>
        </w:rPr>
        <w:t xml:space="preserve"> alocă anual, din bugetul de stat, </w:t>
      </w:r>
      <w:r w:rsidR="005621C9" w:rsidRPr="00CB31F3">
        <w:rPr>
          <w:rFonts w:ascii="Times New Roman" w:hAnsi="Times New Roman" w:cs="Times New Roman"/>
          <w:sz w:val="28"/>
          <w:szCs w:val="28"/>
        </w:rPr>
        <w:t>din impozitul pe venit plătit de fiecare angajat</w:t>
      </w:r>
      <w:r w:rsidR="00CB31F3" w:rsidRPr="00CB31F3">
        <w:rPr>
          <w:rFonts w:ascii="Times New Roman" w:hAnsi="Times New Roman" w:cs="Times New Roman"/>
          <w:sz w:val="28"/>
          <w:szCs w:val="28"/>
        </w:rPr>
        <w:t>.</w:t>
      </w:r>
    </w:p>
    <w:p w14:paraId="7A38F7B8" w14:textId="65DC55E0" w:rsidR="007F3B29" w:rsidRPr="007F3B29" w:rsidRDefault="00180963" w:rsidP="007F3B29">
      <w:pPr>
        <w:pStyle w:val="ListParagraph"/>
        <w:ind w:left="0"/>
        <w:jc w:val="both"/>
        <w:rPr>
          <w:rFonts w:ascii="Times New Roman" w:hAnsi="Times New Roman" w:cs="Times New Roman"/>
          <w:sz w:val="28"/>
          <w:szCs w:val="28"/>
          <w:u w:val="single"/>
        </w:rPr>
      </w:pPr>
      <w:r w:rsidRPr="004C5695">
        <w:rPr>
          <w:rFonts w:ascii="Times New Roman" w:hAnsi="Times New Roman" w:cs="Times New Roman"/>
          <w:sz w:val="28"/>
          <w:szCs w:val="28"/>
        </w:rPr>
        <w:t xml:space="preserve">(6) </w:t>
      </w:r>
      <w:r w:rsidR="007F3B29">
        <w:rPr>
          <w:rFonts w:ascii="Times New Roman" w:hAnsi="Times New Roman" w:cs="Times New Roman"/>
          <w:sz w:val="28"/>
          <w:szCs w:val="28"/>
        </w:rPr>
        <w:t xml:space="preserve">Modalitatea de plată a sumelor care reprezintă contravaloarea voucherelor de vacanță va fi stabilită de Guvern, prin Hotărâre de Guvern, într-un termen de maxim 30 de zile din momentul în care prezenta lege va fi promulgată de </w:t>
      </w:r>
      <w:r w:rsidR="007F3B29">
        <w:rPr>
          <w:rFonts w:ascii="Times New Roman" w:hAnsi="Times New Roman" w:cs="Times New Roman"/>
          <w:sz w:val="28"/>
          <w:szCs w:val="28"/>
        </w:rPr>
        <w:t>P</w:t>
      </w:r>
      <w:r w:rsidR="007F3B29">
        <w:rPr>
          <w:rFonts w:ascii="Times New Roman" w:hAnsi="Times New Roman" w:cs="Times New Roman"/>
          <w:sz w:val="28"/>
          <w:szCs w:val="28"/>
        </w:rPr>
        <w:t xml:space="preserve">reședintele României. </w:t>
      </w:r>
    </w:p>
    <w:p w14:paraId="7DCBB8C3" w14:textId="1606DAE8" w:rsidR="00D73ABC" w:rsidRDefault="00180963" w:rsidP="00180963">
      <w:pPr>
        <w:pStyle w:val="ListParagraph"/>
        <w:ind w:left="0"/>
        <w:jc w:val="both"/>
        <w:rPr>
          <w:rFonts w:ascii="Times New Roman" w:hAnsi="Times New Roman" w:cs="Times New Roman"/>
          <w:sz w:val="28"/>
          <w:szCs w:val="28"/>
        </w:rPr>
      </w:pPr>
      <w:r w:rsidRPr="004C5695">
        <w:rPr>
          <w:rFonts w:ascii="Times New Roman" w:hAnsi="Times New Roman" w:cs="Times New Roman"/>
          <w:sz w:val="28"/>
          <w:szCs w:val="28"/>
        </w:rPr>
        <w:t xml:space="preserve">(7) </w:t>
      </w:r>
      <w:r w:rsidR="00D73ABC" w:rsidRPr="004C5695">
        <w:rPr>
          <w:rFonts w:ascii="Times New Roman" w:hAnsi="Times New Roman" w:cs="Times New Roman"/>
          <w:sz w:val="28"/>
          <w:szCs w:val="28"/>
        </w:rPr>
        <w:t xml:space="preserve">În termen de 5 zile de la primirea sumelor în cont, angajatorii vor vira sumele către unitățile emitente cu care au încheiate contracte, </w:t>
      </w:r>
      <w:r w:rsidR="00451DEE" w:rsidRPr="004C5695">
        <w:rPr>
          <w:rFonts w:ascii="Times New Roman" w:hAnsi="Times New Roman" w:cs="Times New Roman"/>
          <w:sz w:val="28"/>
          <w:szCs w:val="28"/>
        </w:rPr>
        <w:t>care</w:t>
      </w:r>
      <w:r w:rsidR="00D73ABC" w:rsidRPr="004C5695">
        <w:rPr>
          <w:rFonts w:ascii="Times New Roman" w:hAnsi="Times New Roman" w:cs="Times New Roman"/>
          <w:sz w:val="28"/>
          <w:szCs w:val="28"/>
        </w:rPr>
        <w:t xml:space="preserve"> vor transfera beneficiarilor valoarea nominală a voucherelor de vacanță.</w:t>
      </w:r>
      <w:r w:rsidRPr="004C5695">
        <w:rPr>
          <w:rFonts w:ascii="Times New Roman" w:hAnsi="Times New Roman" w:cs="Times New Roman"/>
          <w:sz w:val="28"/>
          <w:szCs w:val="28"/>
        </w:rPr>
        <w:t>”</w:t>
      </w:r>
    </w:p>
    <w:p w14:paraId="00458F1D" w14:textId="68731B0D" w:rsidR="003B66EE" w:rsidRDefault="003B66EE" w:rsidP="00180963">
      <w:pPr>
        <w:pStyle w:val="ListParagraph"/>
        <w:ind w:left="0"/>
        <w:jc w:val="both"/>
        <w:rPr>
          <w:rFonts w:ascii="Times New Roman" w:eastAsiaTheme="minorEastAsia" w:hAnsi="Times New Roman" w:cs="Times New Roman"/>
          <w:color w:val="333333"/>
          <w:sz w:val="28"/>
          <w:szCs w:val="28"/>
          <w:lang w:eastAsia="ro-RO"/>
        </w:rPr>
      </w:pPr>
      <w:r w:rsidRPr="003B66EE">
        <w:rPr>
          <w:rFonts w:ascii="Times New Roman" w:eastAsiaTheme="minorEastAsia" w:hAnsi="Times New Roman" w:cs="Times New Roman"/>
          <w:b/>
          <w:color w:val="333333"/>
          <w:sz w:val="28"/>
          <w:szCs w:val="28"/>
          <w:lang w:eastAsia="ro-RO"/>
        </w:rPr>
        <w:t xml:space="preserve">8. </w:t>
      </w:r>
      <w:r>
        <w:rPr>
          <w:rFonts w:ascii="Times New Roman" w:eastAsiaTheme="minorEastAsia" w:hAnsi="Times New Roman" w:cs="Times New Roman"/>
          <w:b/>
          <w:color w:val="333333"/>
          <w:sz w:val="28"/>
          <w:szCs w:val="28"/>
          <w:lang w:eastAsia="ro-RO"/>
        </w:rPr>
        <w:t>La articolul 7, după alineatul (3) se introduce un alineat nou, alin. (3</w:t>
      </w:r>
      <w:r>
        <w:rPr>
          <w:rFonts w:ascii="Times New Roman" w:eastAsiaTheme="minorEastAsia" w:hAnsi="Times New Roman" w:cs="Times New Roman"/>
          <w:b/>
          <w:color w:val="333333"/>
          <w:sz w:val="28"/>
          <w:szCs w:val="28"/>
          <w:vertAlign w:val="superscript"/>
          <w:lang w:eastAsia="ro-RO"/>
        </w:rPr>
        <w:t>1</w:t>
      </w:r>
      <w:r>
        <w:rPr>
          <w:rFonts w:ascii="Times New Roman" w:eastAsiaTheme="minorEastAsia" w:hAnsi="Times New Roman" w:cs="Times New Roman"/>
          <w:b/>
          <w:color w:val="333333"/>
          <w:sz w:val="28"/>
          <w:szCs w:val="28"/>
          <w:lang w:eastAsia="ro-RO"/>
        </w:rPr>
        <w:t>), cu următorul cuprins:</w:t>
      </w:r>
    </w:p>
    <w:p w14:paraId="22E1A00F" w14:textId="74CA3ED3" w:rsidR="003B66EE" w:rsidRPr="006A09FD" w:rsidRDefault="003B66EE" w:rsidP="00180963">
      <w:pPr>
        <w:pStyle w:val="ListParagraph"/>
        <w:ind w:left="0"/>
        <w:jc w:val="both"/>
        <w:rPr>
          <w:rFonts w:ascii="Times New Roman" w:eastAsiaTheme="minorEastAsia" w:hAnsi="Times New Roman" w:cs="Times New Roman"/>
          <w:color w:val="333333"/>
          <w:sz w:val="28"/>
          <w:szCs w:val="28"/>
          <w:vertAlign w:val="superscript"/>
          <w:lang w:eastAsia="ro-RO"/>
        </w:rPr>
      </w:pPr>
      <w:r>
        <w:rPr>
          <w:rFonts w:ascii="Times New Roman" w:eastAsiaTheme="minorEastAsia" w:hAnsi="Times New Roman" w:cs="Times New Roman"/>
          <w:color w:val="333333"/>
          <w:sz w:val="28"/>
          <w:szCs w:val="28"/>
          <w:lang w:eastAsia="ro-RO"/>
        </w:rPr>
        <w:t>„(3</w:t>
      </w:r>
      <w:r>
        <w:rPr>
          <w:rFonts w:ascii="Times New Roman" w:eastAsiaTheme="minorEastAsia" w:hAnsi="Times New Roman" w:cs="Times New Roman"/>
          <w:color w:val="333333"/>
          <w:sz w:val="28"/>
          <w:szCs w:val="28"/>
          <w:vertAlign w:val="superscript"/>
          <w:lang w:eastAsia="ro-RO"/>
        </w:rPr>
        <w:t>1</w:t>
      </w:r>
      <w:r>
        <w:rPr>
          <w:rFonts w:ascii="Times New Roman" w:eastAsiaTheme="minorEastAsia" w:hAnsi="Times New Roman" w:cs="Times New Roman"/>
          <w:color w:val="333333"/>
          <w:sz w:val="28"/>
          <w:szCs w:val="28"/>
          <w:lang w:eastAsia="ro-RO"/>
        </w:rPr>
        <w:t xml:space="preserve">) Constituie </w:t>
      </w:r>
      <w:r w:rsidR="006A09FD">
        <w:rPr>
          <w:rFonts w:ascii="Times New Roman" w:eastAsiaTheme="minorEastAsia" w:hAnsi="Times New Roman" w:cs="Times New Roman"/>
          <w:color w:val="333333"/>
          <w:sz w:val="28"/>
          <w:szCs w:val="28"/>
          <w:lang w:eastAsia="ro-RO"/>
        </w:rPr>
        <w:t>con</w:t>
      </w:r>
      <w:r w:rsidR="006A09FD" w:rsidRPr="006A09FD">
        <w:rPr>
          <w:rFonts w:ascii="Times New Roman" w:eastAsiaTheme="minorEastAsia" w:hAnsi="Times New Roman" w:cs="Times New Roman"/>
          <w:color w:val="333333"/>
          <w:sz w:val="28"/>
          <w:szCs w:val="28"/>
          <w:lang w:eastAsia="ro-RO"/>
        </w:rPr>
        <w:t>tra</w:t>
      </w:r>
      <w:r w:rsidR="006A09FD">
        <w:rPr>
          <w:rFonts w:ascii="Times New Roman" w:eastAsiaTheme="minorEastAsia" w:hAnsi="Times New Roman" w:cs="Times New Roman"/>
          <w:color w:val="333333"/>
          <w:sz w:val="28"/>
          <w:szCs w:val="28"/>
          <w:lang w:eastAsia="ro-RO"/>
        </w:rPr>
        <w:t>venție și se sancționează cu 5 puncte-amendă nedepunerea sau depunerea cu întârziere de către angajator a listei prevăzute la art. 1.”</w:t>
      </w:r>
    </w:p>
    <w:p w14:paraId="24E2EEAB" w14:textId="77777777" w:rsidR="0027324C" w:rsidRPr="004C5695" w:rsidRDefault="0027324C">
      <w:pPr>
        <w:pStyle w:val="al"/>
        <w:spacing w:line="345" w:lineRule="atLeast"/>
        <w:rPr>
          <w:sz w:val="28"/>
          <w:szCs w:val="28"/>
        </w:rPr>
      </w:pPr>
    </w:p>
    <w:p w14:paraId="440EEDD4" w14:textId="07BAA01D" w:rsidR="00D73ABC" w:rsidRPr="004C5695" w:rsidRDefault="00155A20" w:rsidP="00451DEE">
      <w:pPr>
        <w:spacing w:line="345" w:lineRule="atLeast"/>
        <w:jc w:val="both"/>
        <w:rPr>
          <w:rFonts w:ascii="Times New Roman" w:eastAsia="Times New Roman" w:hAnsi="Times New Roman" w:cs="Times New Roman"/>
          <w:b/>
          <w:bCs/>
          <w:color w:val="FF0000"/>
          <w:sz w:val="28"/>
          <w:szCs w:val="28"/>
        </w:rPr>
      </w:pPr>
      <w:r w:rsidRPr="004C5695">
        <w:rPr>
          <w:rFonts w:ascii="Times New Roman" w:eastAsia="Times New Roman" w:hAnsi="Times New Roman" w:cs="Times New Roman"/>
          <w:b/>
          <w:bCs/>
          <w:sz w:val="28"/>
          <w:szCs w:val="28"/>
        </w:rPr>
        <w:t>Art</w:t>
      </w:r>
      <w:r w:rsidR="00B60549">
        <w:rPr>
          <w:rFonts w:ascii="Times New Roman" w:eastAsia="Times New Roman" w:hAnsi="Times New Roman" w:cs="Times New Roman"/>
          <w:b/>
          <w:bCs/>
          <w:sz w:val="28"/>
          <w:szCs w:val="28"/>
        </w:rPr>
        <w:t xml:space="preserve">icolul </w:t>
      </w:r>
      <w:r w:rsidRPr="004C5695">
        <w:rPr>
          <w:rFonts w:ascii="Times New Roman" w:eastAsia="Times New Roman" w:hAnsi="Times New Roman" w:cs="Times New Roman"/>
          <w:b/>
          <w:bCs/>
          <w:sz w:val="28"/>
          <w:szCs w:val="28"/>
        </w:rPr>
        <w:t xml:space="preserve"> II</w:t>
      </w:r>
      <w:r w:rsidR="00B60549">
        <w:rPr>
          <w:rFonts w:ascii="Times New Roman" w:eastAsia="Times New Roman" w:hAnsi="Times New Roman" w:cs="Times New Roman"/>
          <w:b/>
          <w:bCs/>
          <w:sz w:val="28"/>
          <w:szCs w:val="28"/>
        </w:rPr>
        <w:t>.</w:t>
      </w:r>
      <w:r w:rsidR="00D73ABC" w:rsidRPr="004C5695">
        <w:rPr>
          <w:rFonts w:ascii="Times New Roman" w:eastAsia="Times New Roman" w:hAnsi="Times New Roman" w:cs="Times New Roman"/>
          <w:b/>
          <w:bCs/>
          <w:sz w:val="28"/>
          <w:szCs w:val="28"/>
        </w:rPr>
        <w:t xml:space="preserve"> – Dispozițiile prezentei legi intră în vigoare la data de 1 ianuarie 2024.</w:t>
      </w:r>
      <w:r w:rsidR="00D73ABC" w:rsidRPr="004C5695">
        <w:rPr>
          <w:rFonts w:ascii="Times New Roman" w:eastAsia="Times New Roman" w:hAnsi="Times New Roman" w:cs="Times New Roman"/>
          <w:b/>
          <w:bCs/>
          <w:color w:val="FF0000"/>
          <w:sz w:val="28"/>
          <w:szCs w:val="28"/>
        </w:rPr>
        <w:br/>
      </w:r>
    </w:p>
    <w:tbl>
      <w:tblPr>
        <w:tblW w:w="1440" w:type="dxa"/>
        <w:jc w:val="center"/>
        <w:tblCellMar>
          <w:top w:w="15" w:type="dxa"/>
          <w:left w:w="15" w:type="dxa"/>
          <w:bottom w:w="15" w:type="dxa"/>
          <w:right w:w="15" w:type="dxa"/>
        </w:tblCellMar>
        <w:tblLook w:val="04A0" w:firstRow="1" w:lastRow="0" w:firstColumn="1" w:lastColumn="0" w:noHBand="0" w:noVBand="1"/>
      </w:tblPr>
      <w:tblGrid>
        <w:gridCol w:w="206"/>
        <w:gridCol w:w="1234"/>
      </w:tblGrid>
      <w:tr w:rsidR="000625EF" w:rsidRPr="004C5695" w14:paraId="513D728A" w14:textId="77777777">
        <w:trPr>
          <w:trHeight w:val="10"/>
          <w:jc w:val="center"/>
        </w:trPr>
        <w:tc>
          <w:tcPr>
            <w:tcW w:w="0" w:type="auto"/>
            <w:tcMar>
              <w:top w:w="0" w:type="dxa"/>
              <w:left w:w="0" w:type="dxa"/>
              <w:bottom w:w="0" w:type="dxa"/>
              <w:right w:w="0" w:type="dxa"/>
            </w:tcMar>
            <w:hideMark/>
          </w:tcPr>
          <w:p w14:paraId="419E54F0" w14:textId="77777777" w:rsidR="000625EF" w:rsidRPr="004C5695" w:rsidRDefault="000625EF">
            <w:pPr>
              <w:spacing w:line="345" w:lineRule="atLeast"/>
              <w:jc w:val="center"/>
              <w:rPr>
                <w:rFonts w:ascii="Times New Roman" w:eastAsia="Times New Roman" w:hAnsi="Times New Roman" w:cs="Times New Roman"/>
                <w:b/>
                <w:bCs/>
                <w:color w:val="333333"/>
                <w:sz w:val="28"/>
                <w:szCs w:val="28"/>
              </w:rPr>
            </w:pPr>
          </w:p>
        </w:tc>
        <w:tc>
          <w:tcPr>
            <w:tcW w:w="0" w:type="auto"/>
            <w:hideMark/>
          </w:tcPr>
          <w:p w14:paraId="722D5C5E" w14:textId="77777777" w:rsidR="000625EF" w:rsidRPr="004C5695" w:rsidRDefault="000625EF">
            <w:pPr>
              <w:spacing w:line="345" w:lineRule="atLeast"/>
              <w:rPr>
                <w:rFonts w:ascii="Times New Roman" w:eastAsia="Times New Roman" w:hAnsi="Times New Roman" w:cs="Times New Roman"/>
                <w:sz w:val="28"/>
                <w:szCs w:val="28"/>
              </w:rPr>
            </w:pPr>
          </w:p>
        </w:tc>
      </w:tr>
    </w:tbl>
    <w:p w14:paraId="2B9E09EC" w14:textId="77777777" w:rsidR="009D540B" w:rsidRPr="004C5695" w:rsidRDefault="009D540B">
      <w:pPr>
        <w:rPr>
          <w:rFonts w:ascii="Times New Roman" w:hAnsi="Times New Roman" w:cs="Times New Roman"/>
          <w:sz w:val="28"/>
          <w:szCs w:val="28"/>
        </w:rPr>
      </w:pPr>
    </w:p>
    <w:sectPr w:rsidR="009D540B" w:rsidRPr="004C5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E6A4A"/>
    <w:multiLevelType w:val="hybridMultilevel"/>
    <w:tmpl w:val="DA8CEA84"/>
    <w:lvl w:ilvl="0" w:tplc="E80CB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D246D"/>
    <w:multiLevelType w:val="hybridMultilevel"/>
    <w:tmpl w:val="8696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B34DC"/>
    <w:multiLevelType w:val="hybridMultilevel"/>
    <w:tmpl w:val="088A1090"/>
    <w:lvl w:ilvl="0" w:tplc="6A5E0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32DE6"/>
    <w:multiLevelType w:val="hybridMultilevel"/>
    <w:tmpl w:val="D958841C"/>
    <w:lvl w:ilvl="0" w:tplc="3990B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E3470"/>
    <w:multiLevelType w:val="hybridMultilevel"/>
    <w:tmpl w:val="D65E5BC6"/>
    <w:lvl w:ilvl="0" w:tplc="F2AC7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42D5B"/>
    <w:multiLevelType w:val="hybridMultilevel"/>
    <w:tmpl w:val="C5782592"/>
    <w:lvl w:ilvl="0" w:tplc="FAA894B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F5C2227"/>
    <w:multiLevelType w:val="hybridMultilevel"/>
    <w:tmpl w:val="B86801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83577"/>
    <w:multiLevelType w:val="hybridMultilevel"/>
    <w:tmpl w:val="FCCA9F6E"/>
    <w:lvl w:ilvl="0" w:tplc="8F0C4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E4C8E"/>
    <w:multiLevelType w:val="hybridMultilevel"/>
    <w:tmpl w:val="B8262B56"/>
    <w:lvl w:ilvl="0" w:tplc="CCE60A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79150">
    <w:abstractNumId w:val="5"/>
  </w:num>
  <w:num w:numId="2" w16cid:durableId="150683334">
    <w:abstractNumId w:val="2"/>
  </w:num>
  <w:num w:numId="3" w16cid:durableId="1119101865">
    <w:abstractNumId w:val="4"/>
  </w:num>
  <w:num w:numId="4" w16cid:durableId="1817919347">
    <w:abstractNumId w:val="0"/>
  </w:num>
  <w:num w:numId="5" w16cid:durableId="27682040">
    <w:abstractNumId w:val="1"/>
  </w:num>
  <w:num w:numId="6" w16cid:durableId="688024590">
    <w:abstractNumId w:val="7"/>
  </w:num>
  <w:num w:numId="7" w16cid:durableId="1694303391">
    <w:abstractNumId w:val="3"/>
  </w:num>
  <w:num w:numId="8" w16cid:durableId="1547336148">
    <w:abstractNumId w:val="6"/>
  </w:num>
  <w:num w:numId="9" w16cid:durableId="2270320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40B"/>
    <w:rsid w:val="000625EF"/>
    <w:rsid w:val="00122F75"/>
    <w:rsid w:val="00155A20"/>
    <w:rsid w:val="00180963"/>
    <w:rsid w:val="001C4D2E"/>
    <w:rsid w:val="001D2B15"/>
    <w:rsid w:val="00226972"/>
    <w:rsid w:val="00255201"/>
    <w:rsid w:val="0027324C"/>
    <w:rsid w:val="002920B9"/>
    <w:rsid w:val="002F34AC"/>
    <w:rsid w:val="00337955"/>
    <w:rsid w:val="00365274"/>
    <w:rsid w:val="0038421B"/>
    <w:rsid w:val="003A2A4B"/>
    <w:rsid w:val="003B66EE"/>
    <w:rsid w:val="00451DEE"/>
    <w:rsid w:val="004C5695"/>
    <w:rsid w:val="00512895"/>
    <w:rsid w:val="005621C9"/>
    <w:rsid w:val="005B6C20"/>
    <w:rsid w:val="006A09FD"/>
    <w:rsid w:val="00762805"/>
    <w:rsid w:val="007762AF"/>
    <w:rsid w:val="007F3B29"/>
    <w:rsid w:val="00820769"/>
    <w:rsid w:val="00864913"/>
    <w:rsid w:val="00915765"/>
    <w:rsid w:val="00916D55"/>
    <w:rsid w:val="00937D04"/>
    <w:rsid w:val="00943450"/>
    <w:rsid w:val="00960732"/>
    <w:rsid w:val="009D540B"/>
    <w:rsid w:val="00A04863"/>
    <w:rsid w:val="00A5057D"/>
    <w:rsid w:val="00A552DA"/>
    <w:rsid w:val="00B60549"/>
    <w:rsid w:val="00C30958"/>
    <w:rsid w:val="00C77575"/>
    <w:rsid w:val="00CB31F3"/>
    <w:rsid w:val="00CD61CE"/>
    <w:rsid w:val="00D20BC7"/>
    <w:rsid w:val="00D73ABC"/>
    <w:rsid w:val="00EA05ED"/>
    <w:rsid w:val="00F01812"/>
    <w:rsid w:val="00FB6D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0066"/>
  <w15:docId w15:val="{1CB5AF6D-5107-4583-B66A-6E42E6CC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2">
    <w:name w:val="heading 2"/>
    <w:basedOn w:val="Normal"/>
    <w:link w:val="Heading2Char"/>
    <w:uiPriority w:val="9"/>
    <w:qFormat/>
    <w:pPr>
      <w:spacing w:after="0" w:line="240" w:lineRule="auto"/>
      <w:jc w:val="both"/>
      <w:outlineLvl w:val="1"/>
    </w:pPr>
    <w:rPr>
      <w:rFonts w:ascii="Times New Roman" w:hAnsi="Times New Roman" w:cs="Times New Roman"/>
      <w:sz w:val="24"/>
      <w:szCs w:val="24"/>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paragraph" w:styleId="Heading4">
    <w:name w:val="heading 4"/>
    <w:basedOn w:val="Normal"/>
    <w:link w:val="Heading4Char"/>
    <w:uiPriority w:val="9"/>
    <w:qFormat/>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2Char">
    <w:name w:val="Heading 2 Char"/>
    <w:basedOn w:val="DefaultParagraphFont"/>
    <w:link w:val="Heading2"/>
    <w:uiPriority w:val="9"/>
    <w:rPr>
      <w:rFonts w:ascii="Times New Roman" w:hAnsi="Times New Roman" w:cs="Times New Roman"/>
      <w:sz w:val="24"/>
      <w:szCs w:val="24"/>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styleId="Strong">
    <w:name w:val="Strong"/>
    <w:basedOn w:val="DefaultParagraphFont"/>
    <w:uiPriority w:val="22"/>
    <w:qFormat/>
    <w:rPr>
      <w:b/>
      <w:bCs/>
    </w:rPr>
  </w:style>
  <w:style w:type="paragraph" w:customStyle="1" w:styleId="msonormal0">
    <w:name w:val="msonormal"/>
    <w:basedOn w:val="Normal"/>
    <w:pPr>
      <w:spacing w:after="0" w:line="240" w:lineRule="auto"/>
      <w:jc w:val="both"/>
    </w:pPr>
    <w:rPr>
      <w:rFonts w:ascii="Times New Roman" w:hAnsi="Times New Roman" w:cs="Times New Roman"/>
      <w:sz w:val="24"/>
      <w:szCs w:val="24"/>
    </w:rPr>
  </w:style>
  <w:style w:type="paragraph" w:styleId="NormalWeb">
    <w:name w:val="Normal (Web)"/>
    <w:basedOn w:val="Normal"/>
    <w:uiPriority w:val="99"/>
    <w:semiHidden/>
    <w:unhideWhenUsed/>
    <w:pPr>
      <w:spacing w:after="0" w:line="240" w:lineRule="auto"/>
      <w:jc w:val="both"/>
    </w:pPr>
    <w:rPr>
      <w:rFonts w:ascii="Times New Roman" w:hAnsi="Times New Roman" w:cs="Times New Roman"/>
      <w:sz w:val="24"/>
      <w:szCs w:val="24"/>
    </w:rPr>
  </w:style>
  <w:style w:type="paragraph" w:customStyle="1" w:styleId="displayfirstversion">
    <w:name w:val="display_first_version"/>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document-note">
    <w:name w:val="document-note"/>
    <w:basedOn w:val="Normal"/>
    <w:pPr>
      <w:pBdr>
        <w:top w:val="single" w:sz="12" w:space="4" w:color="FFEE58"/>
        <w:left w:val="single" w:sz="12" w:space="8" w:color="FFEE58"/>
        <w:bottom w:val="single" w:sz="12" w:space="4" w:color="FFEE58"/>
        <w:right w:val="single" w:sz="12" w:space="8" w:color="FFEE58"/>
      </w:pBdr>
      <w:shd w:val="clear" w:color="auto" w:fill="FFFFFF"/>
      <w:spacing w:before="75" w:after="75" w:line="240" w:lineRule="auto"/>
    </w:pPr>
    <w:rPr>
      <w:rFonts w:ascii="Times New Roman" w:hAnsi="Times New Roman" w:cs="Times New Roman"/>
      <w:sz w:val="18"/>
      <w:szCs w:val="18"/>
    </w:rPr>
  </w:style>
  <w:style w:type="paragraph" w:customStyle="1" w:styleId="notablewrapper">
    <w:name w:val="notablewrapp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ateuntil">
    <w:name w:val="date_until"/>
    <w:basedOn w:val="Normal"/>
    <w:pPr>
      <w:spacing w:before="100" w:beforeAutospacing="1" w:after="450" w:line="240" w:lineRule="auto"/>
    </w:pPr>
    <w:rPr>
      <w:rFonts w:ascii="Times New Roman" w:hAnsi="Times New Roman" w:cs="Times New Roman"/>
      <w:sz w:val="18"/>
      <w:szCs w:val="18"/>
    </w:rPr>
  </w:style>
  <w:style w:type="paragraph" w:customStyle="1" w:styleId="jumptoart">
    <w:name w:val="jump_to_art"/>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quoted">
    <w:name w:val="quoted"/>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s2">
    <w:name w:val="s_2"/>
    <w:basedOn w:val="Normal"/>
    <w:pPr>
      <w:spacing w:before="100" w:beforeAutospacing="1" w:after="300" w:line="240" w:lineRule="auto"/>
    </w:pPr>
    <w:rPr>
      <w:rFonts w:ascii="Times New Roman" w:hAnsi="Times New Roman" w:cs="Times New Roman"/>
      <w:sz w:val="24"/>
      <w:szCs w:val="24"/>
    </w:rPr>
  </w:style>
  <w:style w:type="paragraph" w:customStyle="1" w:styleId="ac">
    <w:name w:val="a_c"/>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ar">
    <w:name w:val="a_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document-notetitle">
    <w:name w:val="document-note_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isapplied">
    <w:name w:val="is_appli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js-calendar">
    <w:name w:val="js-calendar"/>
    <w:basedOn w:val="Normal"/>
    <w:pPr>
      <w:spacing w:before="45" w:after="45" w:line="240" w:lineRule="auto"/>
      <w:ind w:left="45" w:right="45"/>
    </w:pPr>
    <w:rPr>
      <w:rFonts w:ascii="Times New Roman" w:hAnsi="Times New Roman" w:cs="Times New Roman"/>
      <w:b/>
      <w:bCs/>
      <w:color w:val="008000"/>
      <w:sz w:val="24"/>
      <w:szCs w:val="24"/>
    </w:rPr>
  </w:style>
  <w:style w:type="paragraph" w:customStyle="1" w:styleId="addtotree">
    <w:name w:val="addtotree"/>
    <w:basedOn w:val="Normal"/>
    <w:pPr>
      <w:spacing w:before="100" w:beforeAutospacing="1" w:after="750" w:line="240" w:lineRule="auto"/>
    </w:pPr>
    <w:rPr>
      <w:rFonts w:ascii="Times New Roman" w:hAnsi="Times New Roman" w:cs="Times New Roman"/>
      <w:sz w:val="24"/>
      <w:szCs w:val="24"/>
    </w:rPr>
  </w:style>
  <w:style w:type="paragraph" w:customStyle="1" w:styleId="pdffooter">
    <w:name w:val="pdf_footer"/>
    <w:basedOn w:val="Normal"/>
    <w:pPr>
      <w:spacing w:before="100" w:beforeAutospacing="1" w:after="100" w:afterAutospacing="1" w:line="240" w:lineRule="auto"/>
    </w:pPr>
    <w:rPr>
      <w:rFonts w:ascii="Arial" w:hAnsi="Arial" w:cs="Arial"/>
      <w:sz w:val="14"/>
      <w:szCs w:val="14"/>
    </w:rPr>
  </w:style>
  <w:style w:type="paragraph" w:customStyle="1" w:styleId="t45">
    <w:name w:val="t_45"/>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46">
    <w:name w:val="t_46"/>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mallgray">
    <w:name w:val="small_gray"/>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haredlist">
    <w:name w:val="shared_lis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waitapprove">
    <w:name w:val="wait_appro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ocument-noterate">
    <w:name w:val="document-note_ra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js-nomenclature-expand">
    <w:name w:val="js-nomenclature-expan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open">
    <w:name w:val="ope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btnclose">
    <w:name w:val="btn_clos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omenclature-content">
    <w:name w:val="nomenclature-conten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mt">
    <w:name w:val="cm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mg">
    <w:name w:val="cmg"/>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mallgray1">
    <w:name w:val="small_gray1"/>
    <w:basedOn w:val="Normal"/>
    <w:pPr>
      <w:spacing w:after="0" w:line="240" w:lineRule="auto"/>
      <w:jc w:val="both"/>
    </w:pPr>
    <w:rPr>
      <w:rFonts w:ascii="Times New Roman" w:hAnsi="Times New Roman" w:cs="Times New Roman"/>
      <w:color w:val="999999"/>
      <w:sz w:val="17"/>
      <w:szCs w:val="17"/>
    </w:rPr>
  </w:style>
  <w:style w:type="paragraph" w:customStyle="1" w:styleId="sharedlist1">
    <w:name w:val="shared_list1"/>
    <w:basedOn w:val="Normal"/>
    <w:pPr>
      <w:spacing w:after="0" w:line="240" w:lineRule="auto"/>
      <w:jc w:val="both"/>
    </w:pPr>
    <w:rPr>
      <w:rFonts w:ascii="Times New Roman" w:hAnsi="Times New Roman" w:cs="Times New Roman"/>
      <w:vanish/>
      <w:sz w:val="24"/>
      <w:szCs w:val="24"/>
    </w:rPr>
  </w:style>
  <w:style w:type="paragraph" w:customStyle="1" w:styleId="waitapprove1">
    <w:name w:val="wait_approve1"/>
    <w:basedOn w:val="Normal"/>
    <w:pPr>
      <w:spacing w:after="0" w:line="240" w:lineRule="auto"/>
      <w:jc w:val="both"/>
    </w:pPr>
    <w:rPr>
      <w:rFonts w:ascii="Times New Roman" w:hAnsi="Times New Roman" w:cs="Times New Roman"/>
      <w:vanish/>
      <w:sz w:val="24"/>
      <w:szCs w:val="24"/>
    </w:rPr>
  </w:style>
  <w:style w:type="paragraph" w:customStyle="1" w:styleId="document-noterate1">
    <w:name w:val="document-note_rate1"/>
    <w:basedOn w:val="Normal"/>
    <w:pPr>
      <w:spacing w:after="0" w:line="240" w:lineRule="auto"/>
      <w:jc w:val="both"/>
    </w:pPr>
    <w:rPr>
      <w:rFonts w:ascii="Times New Roman" w:hAnsi="Times New Roman" w:cs="Times New Roman"/>
      <w:vanish/>
      <w:sz w:val="24"/>
      <w:szCs w:val="24"/>
    </w:rPr>
  </w:style>
  <w:style w:type="paragraph" w:customStyle="1" w:styleId="js-nomenclature-expand1">
    <w:name w:val="js-nomenclature-expand1"/>
    <w:basedOn w:val="Normal"/>
    <w:pPr>
      <w:spacing w:after="0" w:line="240" w:lineRule="auto"/>
      <w:jc w:val="both"/>
    </w:pPr>
    <w:rPr>
      <w:rFonts w:ascii="Times New Roman" w:hAnsi="Times New Roman" w:cs="Times New Roman"/>
      <w:sz w:val="24"/>
      <w:szCs w:val="24"/>
      <w:u w:val="single"/>
    </w:rPr>
  </w:style>
  <w:style w:type="paragraph" w:customStyle="1" w:styleId="open1">
    <w:name w:val="open1"/>
    <w:basedOn w:val="Normal"/>
    <w:pPr>
      <w:spacing w:after="0" w:line="240" w:lineRule="auto"/>
      <w:jc w:val="both"/>
    </w:pPr>
    <w:rPr>
      <w:rFonts w:ascii="Times New Roman" w:hAnsi="Times New Roman" w:cs="Times New Roman"/>
      <w:sz w:val="24"/>
      <w:szCs w:val="24"/>
    </w:rPr>
  </w:style>
  <w:style w:type="paragraph" w:customStyle="1" w:styleId="document-notetitle1">
    <w:name w:val="document-note_title1"/>
    <w:basedOn w:val="Normal"/>
    <w:pPr>
      <w:spacing w:after="0" w:line="240" w:lineRule="auto"/>
      <w:ind w:left="300"/>
      <w:jc w:val="both"/>
    </w:pPr>
    <w:rPr>
      <w:rFonts w:ascii="Times New Roman" w:hAnsi="Times New Roman" w:cs="Times New Roman"/>
      <w:b/>
      <w:bCs/>
      <w:sz w:val="24"/>
      <w:szCs w:val="24"/>
    </w:rPr>
  </w:style>
  <w:style w:type="paragraph" w:customStyle="1" w:styleId="btnclose1">
    <w:name w:val="btn_close1"/>
    <w:basedOn w:val="Normal"/>
    <w:pPr>
      <w:spacing w:after="0" w:line="240" w:lineRule="auto"/>
      <w:ind w:hanging="18913"/>
      <w:jc w:val="both"/>
    </w:pPr>
    <w:rPr>
      <w:rFonts w:ascii="Times New Roman" w:hAnsi="Times New Roman" w:cs="Times New Roman"/>
      <w:vanish/>
      <w:sz w:val="24"/>
      <w:szCs w:val="24"/>
    </w:rPr>
  </w:style>
  <w:style w:type="paragraph" w:customStyle="1" w:styleId="nomenclature-content1">
    <w:name w:val="nomenclature-content1"/>
    <w:basedOn w:val="Normal"/>
    <w:pPr>
      <w:pBdr>
        <w:top w:val="single" w:sz="18" w:space="8" w:color="FFA64D"/>
        <w:left w:val="single" w:sz="18" w:space="8" w:color="FFA64D"/>
        <w:bottom w:val="single" w:sz="18" w:space="8" w:color="FFA64D"/>
        <w:right w:val="single" w:sz="18" w:space="8" w:color="FFA64D"/>
      </w:pBdr>
      <w:spacing w:before="150" w:after="0" w:line="240" w:lineRule="auto"/>
      <w:jc w:val="both"/>
    </w:pPr>
    <w:rPr>
      <w:rFonts w:ascii="Times New Roman" w:hAnsi="Times New Roman" w:cs="Times New Roman"/>
      <w:vanish/>
      <w:sz w:val="24"/>
      <w:szCs w:val="24"/>
    </w:rPr>
  </w:style>
  <w:style w:type="paragraph" w:customStyle="1" w:styleId="t451">
    <w:name w:val="t_451"/>
    <w:basedOn w:val="Normal"/>
    <w:pPr>
      <w:spacing w:before="150" w:after="0" w:line="240" w:lineRule="auto"/>
      <w:jc w:val="both"/>
    </w:pPr>
    <w:rPr>
      <w:rFonts w:ascii="Times New Roman" w:hAnsi="Times New Roman" w:cs="Times New Roman"/>
      <w:i/>
      <w:iCs/>
      <w:sz w:val="24"/>
      <w:szCs w:val="24"/>
    </w:rPr>
  </w:style>
  <w:style w:type="paragraph" w:customStyle="1" w:styleId="t461">
    <w:name w:val="t_461"/>
    <w:basedOn w:val="Normal"/>
    <w:pPr>
      <w:spacing w:after="0" w:line="240" w:lineRule="auto"/>
      <w:jc w:val="both"/>
    </w:pPr>
    <w:rPr>
      <w:rFonts w:ascii="Times New Roman" w:hAnsi="Times New Roman" w:cs="Times New Roman"/>
      <w:sz w:val="24"/>
      <w:szCs w:val="24"/>
    </w:rPr>
  </w:style>
  <w:style w:type="paragraph" w:customStyle="1" w:styleId="cmt1">
    <w:name w:val="cmt1"/>
    <w:basedOn w:val="Normal"/>
    <w:pPr>
      <w:spacing w:after="0" w:line="240" w:lineRule="auto"/>
      <w:jc w:val="both"/>
    </w:pPr>
    <w:rPr>
      <w:rFonts w:ascii="Times New Roman" w:hAnsi="Times New Roman" w:cs="Times New Roman"/>
      <w:color w:val="339966"/>
      <w:sz w:val="24"/>
      <w:szCs w:val="24"/>
    </w:rPr>
  </w:style>
  <w:style w:type="paragraph" w:customStyle="1" w:styleId="cmg1">
    <w:name w:val="cmg1"/>
    <w:basedOn w:val="Normal"/>
    <w:pPr>
      <w:spacing w:after="0" w:line="240" w:lineRule="auto"/>
      <w:jc w:val="both"/>
    </w:pPr>
    <w:rPr>
      <w:rFonts w:ascii="Times New Roman" w:hAnsi="Times New Roman" w:cs="Times New Roman"/>
      <w:color w:val="339966"/>
      <w:sz w:val="20"/>
      <w:szCs w:val="20"/>
    </w:rPr>
  </w:style>
  <w:style w:type="paragraph" w:customStyle="1" w:styleId="cmg2">
    <w:name w:val="cmg2"/>
    <w:basedOn w:val="Normal"/>
    <w:pPr>
      <w:spacing w:after="0" w:line="240" w:lineRule="auto"/>
      <w:jc w:val="both"/>
    </w:pPr>
    <w:rPr>
      <w:rFonts w:ascii="Times New Roman" w:hAnsi="Times New Roman" w:cs="Times New Roman"/>
      <w:color w:val="339966"/>
      <w:sz w:val="24"/>
      <w:szCs w:val="24"/>
    </w:rPr>
  </w:style>
  <w:style w:type="character" w:customStyle="1" w:styleId="js-ineffectstring">
    <w:name w:val="js-ineffectstring"/>
    <w:basedOn w:val="DefaultParagraphFont"/>
  </w:style>
  <w:style w:type="character" w:customStyle="1" w:styleId="js-calendar1">
    <w:name w:val="js-calendar1"/>
    <w:basedOn w:val="DefaultParagraphFont"/>
    <w:rPr>
      <w:b/>
      <w:bCs/>
      <w:color w:val="008000"/>
    </w:rPr>
  </w:style>
  <w:style w:type="paragraph" w:customStyle="1" w:styleId="al">
    <w:name w:val="a_l"/>
    <w:basedOn w:val="Normal"/>
    <w:pPr>
      <w:spacing w:after="0" w:line="240" w:lineRule="auto"/>
      <w:jc w:val="both"/>
    </w:pPr>
    <w:rPr>
      <w:rFonts w:ascii="Times New Roman" w:hAnsi="Times New Roman" w:cs="Times New Roman"/>
      <w:sz w:val="24"/>
      <w:szCs w:val="24"/>
    </w:rPr>
  </w:style>
  <w:style w:type="character" w:customStyle="1" w:styleId="cmg3">
    <w:name w:val="cmg3"/>
    <w:basedOn w:val="DefaultParagraphFont"/>
  </w:style>
  <w:style w:type="paragraph" w:styleId="ListParagraph">
    <w:name w:val="List Paragraph"/>
    <w:basedOn w:val="Normal"/>
    <w:uiPriority w:val="34"/>
    <w:qFormat/>
    <w:rsid w:val="0027324C"/>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7783">
      <w:marLeft w:val="0"/>
      <w:marRight w:val="0"/>
      <w:marTop w:val="0"/>
      <w:marBottom w:val="75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e5.ro/App/Document/geztsmrxgu/legea-nr-263-2010-privind-sistemul-unitar-de-pensii-publice?d=2023-02-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App/Document/ha3tgnjw/legea-nr-273-2006-privind-finantele-publice-locale?pid=29475598&amp;d=2023-02-27" TargetMode="External"/><Relationship Id="rId5" Type="http://schemas.openxmlformats.org/officeDocument/2006/relationships/hyperlink" Target="https://lege5.ro/App/Document/geydsnjzgu/legea-nr-500-2002-privind-finantele-publice?pid=65690193&amp;d=2023-02-2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724</Words>
  <Characters>4127</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Alexa Vasile</cp:lastModifiedBy>
  <cp:revision>30</cp:revision>
  <dcterms:created xsi:type="dcterms:W3CDTF">2023-02-27T13:45:00Z</dcterms:created>
  <dcterms:modified xsi:type="dcterms:W3CDTF">2023-03-06T11:49:00Z</dcterms:modified>
</cp:coreProperties>
</file>